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海口市医疗保障局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val="en-US" w:eastAsia="zh-CN"/>
        </w:rPr>
        <w:t>门户网站安全等级保护测评项目</w:t>
      </w:r>
      <w:r>
        <w:rPr>
          <w:rFonts w:hint="eastAsia" w:ascii="方正小标宋简体" w:hAnsi="方正小标宋简体" w:eastAsia="方正小标宋简体" w:cs="方正小标宋简体"/>
          <w:b w:val="0"/>
          <w:bCs/>
          <w:sz w:val="44"/>
          <w:szCs w:val="44"/>
          <w:highlight w:val="none"/>
        </w:rPr>
        <w:t>要求</w:t>
      </w:r>
    </w:p>
    <w:p>
      <w:pPr>
        <w:numPr>
          <w:ilvl w:val="0"/>
          <w:numId w:val="0"/>
        </w:numPr>
        <w:rPr>
          <w:rFonts w:hint="eastAsia" w:ascii="仿宋_GB2312" w:hAnsi="仿宋_GB2312" w:eastAsia="仿宋_GB2312" w:cs="仿宋_GB2312"/>
          <w:b/>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一、项目概述</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根据《信息系统安全等级保护实施指南》等相关文件及标准要求，通过委托专业信息安全等级保护测评机构，对我局门户网站</w:t>
      </w:r>
      <w:r>
        <w:rPr>
          <w:rFonts w:hint="eastAsia" w:ascii="仿宋_GB2312" w:hAnsi="仿宋_GB2312" w:eastAsia="仿宋_GB2312" w:cs="仿宋_GB2312"/>
          <w:kern w:val="0"/>
          <w:sz w:val="32"/>
          <w:szCs w:val="32"/>
          <w:highlight w:val="none"/>
          <w:lang w:val="en-US" w:eastAsia="zh-CN" w:bidi="ar-SA"/>
        </w:rPr>
        <w:t>进行信息安全</w:t>
      </w:r>
      <w:r>
        <w:rPr>
          <w:rFonts w:hint="eastAsia" w:ascii="仿宋_GB2312" w:hAnsi="仿宋_GB2312" w:eastAsia="仿宋_GB2312" w:cs="仿宋_GB2312"/>
          <w:color w:val="auto"/>
          <w:kern w:val="0"/>
          <w:sz w:val="32"/>
          <w:szCs w:val="32"/>
          <w:highlight w:val="none"/>
          <w:lang w:val="en-US" w:eastAsia="zh-CN" w:bidi="ar-SA"/>
        </w:rPr>
        <w:t>等级保护定级与测评，并出具测评报告及整改指导、信息安全培训等服务，明细如下：</w:t>
      </w:r>
    </w:p>
    <w:tbl>
      <w:tblPr>
        <w:tblStyle w:val="6"/>
        <w:tblW w:w="0" w:type="auto"/>
        <w:tblInd w:w="72"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7"/>
        <w:gridCol w:w="1198"/>
        <w:gridCol w:w="636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887" w:type="dxa"/>
            <w:noWrap w:val="0"/>
            <w:vAlign w:val="top"/>
          </w:tcPr>
          <w:p>
            <w:pPr>
              <w:numPr>
                <w:ilvl w:val="0"/>
                <w:numId w:val="0"/>
              </w:numPr>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序号</w:t>
            </w:r>
          </w:p>
        </w:tc>
        <w:tc>
          <w:tcPr>
            <w:tcW w:w="7558" w:type="dxa"/>
            <w:gridSpan w:val="2"/>
            <w:noWrap w:val="0"/>
            <w:vAlign w:val="top"/>
          </w:tcPr>
          <w:p>
            <w:pPr>
              <w:numPr>
                <w:ilvl w:val="0"/>
                <w:numId w:val="0"/>
              </w:numPr>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服务项目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029" w:hRule="atLeast"/>
        </w:trPr>
        <w:tc>
          <w:tcPr>
            <w:tcW w:w="887" w:type="dxa"/>
            <w:noWrap w:val="0"/>
            <w:vAlign w:val="center"/>
          </w:tcPr>
          <w:p>
            <w:pPr>
              <w:spacing w:line="360" w:lineRule="auto"/>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c>
          <w:tcPr>
            <w:tcW w:w="1198" w:type="dxa"/>
            <w:noWrap w:val="0"/>
            <w:vAlign w:val="center"/>
          </w:tcPr>
          <w:p>
            <w:pPr>
              <w:adjustRightInd w:val="0"/>
              <w:snapToGrid w:val="0"/>
              <w:spacing w:line="36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信息安全等级</w:t>
            </w:r>
            <w:r>
              <w:rPr>
                <w:rFonts w:hint="eastAsia" w:ascii="仿宋_GB2312" w:hAnsi="仿宋_GB2312" w:eastAsia="仿宋_GB2312" w:cs="仿宋_GB2312"/>
                <w:sz w:val="24"/>
                <w:szCs w:val="24"/>
                <w:highlight w:val="none"/>
              </w:rPr>
              <w:t>保护测评</w:t>
            </w:r>
          </w:p>
        </w:tc>
        <w:tc>
          <w:tcPr>
            <w:tcW w:w="63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根据信息系统的安全保护等级，并依据《GB/T 22239-2019 信息安全技术网络安全等级保护基本要求》等的条款要求，逐一对信息系统的安全保护等级进行测评，测评的内容包括但不限于以下内容：</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安全技术测评：包括安全物理环境、安全通信网络、安全区域边界、安全计算环境、安全管理中心五个方面的安全测评；</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安全管理测评：安全管理制度、安全管理机构、安全管理人员、安全建设管理、安全运维管理五个方面的安全测评。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59" w:hRule="atLeast"/>
        </w:trPr>
        <w:tc>
          <w:tcPr>
            <w:tcW w:w="887" w:type="dxa"/>
            <w:noWrap w:val="0"/>
            <w:vAlign w:val="center"/>
          </w:tcPr>
          <w:p>
            <w:pPr>
              <w:spacing w:line="360" w:lineRule="auto"/>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w:t>
            </w:r>
          </w:p>
        </w:tc>
        <w:tc>
          <w:tcPr>
            <w:tcW w:w="1198" w:type="dxa"/>
            <w:noWrap w:val="0"/>
            <w:vAlign w:val="center"/>
          </w:tcPr>
          <w:p>
            <w:pPr>
              <w:adjustRightInd w:val="0"/>
              <w:snapToGrid w:val="0"/>
              <w:spacing w:line="360" w:lineRule="auto"/>
              <w:jc w:val="left"/>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差距分析</w:t>
            </w:r>
          </w:p>
        </w:tc>
        <w:tc>
          <w:tcPr>
            <w:tcW w:w="6360" w:type="dxa"/>
            <w:noWrap w:val="0"/>
            <w:vAlign w:val="center"/>
          </w:tcPr>
          <w:p>
            <w:pPr>
              <w:pStyle w:val="4"/>
              <w:keepNext w:val="0"/>
              <w:keepLines w:val="0"/>
              <w:pageBreakBefore w:val="0"/>
              <w:widowControl w:val="0"/>
              <w:kinsoku/>
              <w:wordWrap/>
              <w:overflowPunct/>
              <w:topLinePunct w:val="0"/>
              <w:autoSpaceDE/>
              <w:autoSpaceDN/>
              <w:bidi w:val="0"/>
              <w:spacing w:line="32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2"/>
                <w:sz w:val="24"/>
                <w:szCs w:val="24"/>
                <w:highlight w:val="none"/>
                <w:lang w:val="en-US" w:eastAsia="zh-CN" w:bidi="ar-SA"/>
              </w:rPr>
              <w:t>将现有系统的安全技术和安全管理对照等级保护要求逐条进行差距分析，并出具符合公安机关要求的信息系统安全保护等级测评报告。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25" w:hRule="atLeast"/>
        </w:trPr>
        <w:tc>
          <w:tcPr>
            <w:tcW w:w="887" w:type="dxa"/>
            <w:noWrap w:val="0"/>
            <w:vAlign w:val="center"/>
          </w:tcPr>
          <w:p>
            <w:pPr>
              <w:spacing w:line="360" w:lineRule="auto"/>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1198" w:type="dxa"/>
            <w:noWrap w:val="0"/>
            <w:vAlign w:val="center"/>
          </w:tcPr>
          <w:p>
            <w:pPr>
              <w:adjustRightInd w:val="0"/>
              <w:snapToGrid w:val="0"/>
              <w:spacing w:line="36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整改指导</w:t>
            </w:r>
          </w:p>
        </w:tc>
        <w:tc>
          <w:tcPr>
            <w:tcW w:w="6360" w:type="dxa"/>
            <w:noWrap w:val="0"/>
            <w:vAlign w:val="center"/>
          </w:tcPr>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测</w:t>
            </w:r>
            <w:r>
              <w:rPr>
                <w:rFonts w:hint="eastAsia" w:ascii="仿宋_GB2312" w:hAnsi="仿宋_GB2312" w:eastAsia="仿宋_GB2312" w:cs="仿宋_GB2312"/>
                <w:sz w:val="24"/>
                <w:szCs w:val="24"/>
                <w:highlight w:val="none"/>
                <w:lang w:val="en-US" w:eastAsia="zh-CN"/>
              </w:rPr>
              <w:t>评结束后，按照国家有关规定和标准规范要求，坚持管理和技术并重的原则，向用户进行报告解读，并将技术措施和管理措施有机结合，建立健全门户网站综合防护体系，</w:t>
            </w:r>
            <w:r>
              <w:rPr>
                <w:rFonts w:hint="eastAsia" w:ascii="仿宋_GB2312" w:hAnsi="仿宋_GB2312" w:eastAsia="仿宋_GB2312" w:cs="仿宋_GB2312"/>
                <w:sz w:val="24"/>
                <w:szCs w:val="24"/>
                <w:highlight w:val="none"/>
              </w:rPr>
              <w:t>提出具有针对性的整改方案</w:t>
            </w:r>
            <w:r>
              <w:rPr>
                <w:rFonts w:hint="eastAsia" w:ascii="仿宋_GB2312" w:hAnsi="仿宋_GB2312" w:eastAsia="仿宋_GB2312" w:cs="仿宋_GB2312"/>
                <w:sz w:val="24"/>
                <w:szCs w:val="24"/>
                <w:highlight w:val="none"/>
                <w:lang w:val="en-US" w:eastAsia="zh-CN"/>
              </w:rPr>
              <w:t>，指导用户进行整改，以达到提高信息系统整体安全保护能力。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802" w:hRule="atLeast"/>
        </w:trPr>
        <w:tc>
          <w:tcPr>
            <w:tcW w:w="887" w:type="dxa"/>
            <w:noWrap w:val="0"/>
            <w:vAlign w:val="center"/>
          </w:tcPr>
          <w:p>
            <w:pPr>
              <w:spacing w:line="360" w:lineRule="auto"/>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1198" w:type="dxa"/>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8"/>
                <w:sz w:val="24"/>
                <w:szCs w:val="24"/>
                <w:highlight w:val="none"/>
                <w:lang w:eastAsia="zh-CN"/>
              </w:rPr>
              <w:t>信息安全培训</w:t>
            </w:r>
          </w:p>
        </w:tc>
        <w:tc>
          <w:tcPr>
            <w:tcW w:w="6360" w:type="dxa"/>
            <w:noWrap w:val="0"/>
            <w:vAlign w:val="center"/>
          </w:tcPr>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lang w:eastAsia="zh-CN"/>
              </w:rPr>
              <w:t>对全体人员进行信息安全意识教育培训</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lang w:eastAsia="zh-CN"/>
              </w:rPr>
              <w:t>提高全体工作人员对信息安全的基本认知和敏感性；</w:t>
            </w:r>
          </w:p>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b/>
                <w:sz w:val="24"/>
                <w:szCs w:val="24"/>
                <w:highlight w:val="none"/>
                <w:u w:val="single"/>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lang w:eastAsia="zh-CN"/>
              </w:rPr>
              <w:t>对有关工作人员进行安全防护技能的培训，提高其安全防护能力。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887" w:type="dxa"/>
            <w:noWrap w:val="0"/>
            <w:vAlign w:val="center"/>
          </w:tcPr>
          <w:p>
            <w:pPr>
              <w:spacing w:line="360" w:lineRule="auto"/>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1198" w:type="dxa"/>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28"/>
                <w:sz w:val="24"/>
                <w:szCs w:val="24"/>
                <w:highlight w:val="none"/>
                <w:lang w:eastAsia="zh-CN"/>
              </w:rPr>
              <w:t>完善安全管理制度</w:t>
            </w:r>
          </w:p>
        </w:tc>
        <w:tc>
          <w:tcPr>
            <w:tcW w:w="6360" w:type="dxa"/>
            <w:noWrap w:val="0"/>
            <w:vAlign w:val="center"/>
          </w:tcPr>
          <w:p>
            <w:pPr>
              <w:keepNext w:val="0"/>
              <w:keepLines w:val="0"/>
              <w:pageBreakBefore w:val="0"/>
              <w:widowControl w:val="0"/>
              <w:kinsoku/>
              <w:wordWrap/>
              <w:overflowPunct/>
              <w:topLinePunct w:val="0"/>
              <w:autoSpaceDE/>
              <w:autoSpaceDN/>
              <w:bidi w:val="0"/>
              <w:spacing w:line="320" w:lineRule="exact"/>
              <w:ind w:firstLine="480" w:firstLineChars="200"/>
              <w:jc w:val="left"/>
              <w:textAlignment w:val="auto"/>
              <w:rPr>
                <w:rFonts w:hint="eastAsia" w:ascii="仿宋_GB2312" w:hAnsi="仿宋_GB2312" w:eastAsia="仿宋_GB2312" w:cs="仿宋_GB2312"/>
                <w:b/>
                <w:sz w:val="24"/>
                <w:szCs w:val="24"/>
                <w:highlight w:val="none"/>
                <w:u w:val="single"/>
              </w:rPr>
            </w:pPr>
            <w:r>
              <w:rPr>
                <w:rFonts w:hint="eastAsia" w:ascii="仿宋_GB2312" w:hAnsi="仿宋_GB2312" w:eastAsia="仿宋_GB2312" w:cs="仿宋_GB2312"/>
                <w:sz w:val="24"/>
                <w:szCs w:val="24"/>
                <w:highlight w:val="none"/>
                <w:lang w:eastAsia="zh-CN"/>
              </w:rPr>
              <w:t>根据国家等级测评保护制度的要求，结合单位实际情况，完善网络安全管理制度，并行成文本以进一步加强信息网络的维护和管理，确保网络安全、可靠、稳定地运行</w:t>
            </w:r>
            <w:r>
              <w:rPr>
                <w:rFonts w:hint="eastAsia" w:ascii="仿宋_GB2312" w:hAnsi="仿宋_GB2312" w:eastAsia="仿宋_GB2312" w:cs="仿宋_GB2312"/>
                <w:sz w:val="24"/>
                <w:szCs w:val="24"/>
                <w:highlight w:val="none"/>
                <w:lang w:val="en-US" w:eastAsia="zh-CN"/>
              </w:rPr>
              <w:t>，提高网站的管理与运维水平。</w:t>
            </w:r>
          </w:p>
        </w:tc>
      </w:tr>
    </w:tbl>
    <w:p>
      <w:pPr>
        <w:keepNext w:val="0"/>
        <w:keepLines w:val="0"/>
        <w:pageBreakBefore w:val="0"/>
        <w:widowControl w:val="0"/>
        <w:numPr>
          <w:ilvl w:val="0"/>
          <w:numId w:val="0"/>
        </w:numPr>
        <w:kinsoku/>
        <w:wordWrap/>
        <w:overflowPunct/>
        <w:topLinePunct w:val="0"/>
        <w:bidi w:val="0"/>
        <w:snapToGrid/>
        <w:spacing w:line="560" w:lineRule="exact"/>
        <w:ind w:leftChars="0" w:right="0" w:firstLine="640" w:firstLineChars="200"/>
        <w:textAlignment w:val="auto"/>
        <w:rPr>
          <w:rFonts w:hint="eastAsia" w:ascii="黑体" w:hAnsi="黑体" w:eastAsia="黑体" w:cs="黑体"/>
          <w:b w:val="0"/>
          <w:bCs w:val="0"/>
          <w:kern w:val="28"/>
          <w:sz w:val="32"/>
          <w:szCs w:val="32"/>
          <w:highlight w:val="none"/>
        </w:rPr>
      </w:pP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项目服务内容</w:t>
      </w:r>
    </w:p>
    <w:p>
      <w:pPr>
        <w:keepNext w:val="0"/>
        <w:keepLines w:val="0"/>
        <w:pageBreakBefore w:val="0"/>
        <w:widowControl w:val="0"/>
        <w:numPr>
          <w:ilvl w:val="0"/>
          <w:numId w:val="0"/>
        </w:numPr>
        <w:kinsoku/>
        <w:wordWrap/>
        <w:overflowPunct/>
        <w:topLinePunct w:val="0"/>
        <w:bidi w:val="0"/>
        <w:snapToGrid/>
        <w:spacing w:line="560" w:lineRule="exact"/>
        <w:ind w:leftChars="0" w:right="0" w:firstLine="643" w:firstLineChars="200"/>
        <w:textAlignment w:val="auto"/>
        <w:rPr>
          <w:rFonts w:hint="eastAsia" w:ascii="楷体_GB2312" w:hAnsi="楷体_GB2312" w:eastAsia="楷体_GB2312" w:cs="楷体_GB2312"/>
          <w:b/>
          <w:bCs/>
          <w:kern w:val="28"/>
          <w:sz w:val="32"/>
          <w:szCs w:val="32"/>
          <w:highlight w:val="none"/>
        </w:rPr>
      </w:pPr>
      <w:r>
        <w:rPr>
          <w:rFonts w:hint="eastAsia" w:ascii="楷体_GB2312" w:hAnsi="楷体_GB2312" w:eastAsia="楷体_GB2312" w:cs="楷体_GB2312"/>
          <w:b/>
          <w:bCs/>
          <w:kern w:val="28"/>
          <w:sz w:val="32"/>
          <w:szCs w:val="32"/>
          <w:highlight w:val="none"/>
        </w:rPr>
        <w:t>（一）</w:t>
      </w:r>
      <w:r>
        <w:rPr>
          <w:rFonts w:hint="eastAsia" w:ascii="楷体_GB2312" w:hAnsi="楷体_GB2312" w:eastAsia="楷体_GB2312" w:cs="楷体_GB2312"/>
          <w:b/>
          <w:bCs/>
          <w:kern w:val="28"/>
          <w:sz w:val="32"/>
          <w:szCs w:val="32"/>
          <w:highlight w:val="none"/>
          <w:lang w:val="en-US" w:eastAsia="zh-CN"/>
        </w:rPr>
        <w:t>项目</w:t>
      </w:r>
      <w:r>
        <w:rPr>
          <w:rFonts w:hint="eastAsia" w:ascii="楷体_GB2312" w:hAnsi="楷体_GB2312" w:eastAsia="楷体_GB2312" w:cs="楷体_GB2312"/>
          <w:b/>
          <w:bCs/>
          <w:kern w:val="28"/>
          <w:sz w:val="32"/>
          <w:szCs w:val="32"/>
          <w:highlight w:val="none"/>
        </w:rPr>
        <w:t>目标</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rPr>
        <w:t>通过信息安全等级保护测评服务，对海口市医疗保障局</w:t>
      </w:r>
      <w:r>
        <w:rPr>
          <w:rFonts w:hint="eastAsia" w:ascii="仿宋_GB2312" w:hAnsi="仿宋_GB2312" w:eastAsia="仿宋_GB2312" w:cs="仿宋_GB2312"/>
          <w:kern w:val="28"/>
          <w:sz w:val="32"/>
          <w:szCs w:val="32"/>
          <w:highlight w:val="none"/>
          <w:lang w:eastAsia="zh-CN"/>
        </w:rPr>
        <w:t>门户网站</w:t>
      </w:r>
      <w:r>
        <w:rPr>
          <w:rFonts w:hint="eastAsia" w:ascii="仿宋_GB2312" w:hAnsi="仿宋_GB2312" w:eastAsia="仿宋_GB2312" w:cs="仿宋_GB2312"/>
          <w:kern w:val="28"/>
          <w:sz w:val="32"/>
          <w:szCs w:val="32"/>
          <w:highlight w:val="none"/>
        </w:rPr>
        <w:t>开展符合性测评，衡量</w:t>
      </w:r>
      <w:r>
        <w:rPr>
          <w:rFonts w:hint="eastAsia" w:ascii="仿宋_GB2312" w:hAnsi="仿宋_GB2312" w:eastAsia="仿宋_GB2312" w:cs="仿宋_GB2312"/>
          <w:kern w:val="28"/>
          <w:sz w:val="32"/>
          <w:szCs w:val="32"/>
          <w:highlight w:val="none"/>
          <w:lang w:eastAsia="zh-CN"/>
        </w:rPr>
        <w:t>门户网站</w:t>
      </w:r>
      <w:r>
        <w:rPr>
          <w:rFonts w:hint="eastAsia" w:ascii="仿宋_GB2312" w:hAnsi="仿宋_GB2312" w:eastAsia="仿宋_GB2312" w:cs="仿宋_GB2312"/>
          <w:kern w:val="28"/>
          <w:sz w:val="32"/>
          <w:szCs w:val="32"/>
          <w:highlight w:val="none"/>
        </w:rPr>
        <w:t>的安全保护管理措施和技术防护措施是否符合等级保护基本要求，是否具备了相应的安全保护能力。</w:t>
      </w:r>
      <w:r>
        <w:rPr>
          <w:rFonts w:hint="eastAsia" w:ascii="仿宋_GB2312" w:hAnsi="仿宋_GB2312" w:eastAsia="仿宋_GB2312" w:cs="仿宋_GB2312"/>
          <w:kern w:val="28"/>
          <w:sz w:val="32"/>
          <w:szCs w:val="32"/>
          <w:highlight w:val="none"/>
          <w:lang w:val="en-US" w:eastAsia="zh-CN"/>
        </w:rPr>
        <w:t>查摆</w:t>
      </w:r>
      <w:r>
        <w:rPr>
          <w:rFonts w:hint="eastAsia" w:ascii="仿宋_GB2312" w:hAnsi="仿宋_GB2312" w:eastAsia="仿宋_GB2312" w:cs="仿宋_GB2312"/>
          <w:kern w:val="28"/>
          <w:sz w:val="32"/>
          <w:szCs w:val="32"/>
          <w:highlight w:val="none"/>
        </w:rPr>
        <w:t>问题，针对性制定整改措施，推进信息安全防护体系不断完善。</w:t>
      </w:r>
    </w:p>
    <w:p>
      <w:pPr>
        <w:keepNext w:val="0"/>
        <w:keepLines w:val="0"/>
        <w:pageBreakBefore w:val="0"/>
        <w:widowControl w:val="0"/>
        <w:numPr>
          <w:ilvl w:val="0"/>
          <w:numId w:val="0"/>
        </w:numPr>
        <w:kinsoku/>
        <w:wordWrap/>
        <w:overflowPunct/>
        <w:topLinePunct w:val="0"/>
        <w:bidi w:val="0"/>
        <w:snapToGrid/>
        <w:spacing w:line="560" w:lineRule="exact"/>
        <w:ind w:leftChars="0" w:right="0" w:firstLine="643" w:firstLineChars="200"/>
        <w:textAlignment w:val="auto"/>
        <w:rPr>
          <w:rFonts w:hint="eastAsia" w:ascii="楷体_GB2312" w:hAnsi="楷体_GB2312" w:eastAsia="楷体_GB2312" w:cs="楷体_GB2312"/>
          <w:b/>
          <w:bCs/>
          <w:kern w:val="28"/>
          <w:sz w:val="32"/>
          <w:szCs w:val="32"/>
          <w:highlight w:val="none"/>
        </w:rPr>
      </w:pPr>
      <w:r>
        <w:rPr>
          <w:rFonts w:hint="eastAsia" w:ascii="楷体_GB2312" w:hAnsi="楷体_GB2312" w:eastAsia="楷体_GB2312" w:cs="楷体_GB2312"/>
          <w:b/>
          <w:bCs/>
          <w:kern w:val="28"/>
          <w:sz w:val="32"/>
          <w:szCs w:val="32"/>
          <w:highlight w:val="none"/>
        </w:rPr>
        <w:t>（二）信息系统安全等级保护符合性测评</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0"/>
          <w:sz w:val="32"/>
          <w:szCs w:val="32"/>
          <w:highlight w:val="none"/>
        </w:rPr>
        <w:t>依据《信息系统安全等级保护基本要求》，对被测系统的安全防护措施进行合规性测评</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28"/>
          <w:sz w:val="32"/>
          <w:szCs w:val="32"/>
          <w:highlight w:val="none"/>
        </w:rPr>
        <w:t>按照公安部制订的信息系统安全等级测评报告格式编制等级测评报告，报告中必须明确</w:t>
      </w:r>
      <w:r>
        <w:rPr>
          <w:rFonts w:hint="eastAsia" w:ascii="仿宋_GB2312" w:hAnsi="仿宋_GB2312" w:eastAsia="仿宋_GB2312" w:cs="仿宋_GB2312"/>
          <w:kern w:val="28"/>
          <w:sz w:val="32"/>
          <w:szCs w:val="32"/>
          <w:highlight w:val="none"/>
          <w:lang w:eastAsia="zh-CN"/>
        </w:rPr>
        <w:t>门户网站</w:t>
      </w:r>
      <w:r>
        <w:rPr>
          <w:rFonts w:hint="eastAsia" w:ascii="仿宋_GB2312" w:hAnsi="仿宋_GB2312" w:eastAsia="仿宋_GB2312" w:cs="仿宋_GB2312"/>
          <w:kern w:val="28"/>
          <w:sz w:val="32"/>
          <w:szCs w:val="32"/>
          <w:highlight w:val="none"/>
        </w:rPr>
        <w:t>是否满足等级保护要求。</w:t>
      </w:r>
    </w:p>
    <w:p>
      <w:pPr>
        <w:keepNext w:val="0"/>
        <w:keepLines w:val="0"/>
        <w:pageBreakBefore w:val="0"/>
        <w:widowControl w:val="0"/>
        <w:numPr>
          <w:ilvl w:val="0"/>
          <w:numId w:val="0"/>
        </w:numPr>
        <w:kinsoku/>
        <w:wordWrap/>
        <w:overflowPunct/>
        <w:topLinePunct w:val="0"/>
        <w:bidi w:val="0"/>
        <w:snapToGrid/>
        <w:spacing w:line="560" w:lineRule="exact"/>
        <w:ind w:leftChars="0" w:right="0" w:firstLine="643" w:firstLineChars="200"/>
        <w:textAlignment w:val="auto"/>
        <w:rPr>
          <w:rFonts w:hint="eastAsia" w:ascii="楷体_GB2312" w:hAnsi="楷体_GB2312" w:eastAsia="楷体_GB2312" w:cs="楷体_GB2312"/>
          <w:b/>
          <w:bCs/>
          <w:kern w:val="28"/>
          <w:sz w:val="32"/>
          <w:szCs w:val="32"/>
          <w:highlight w:val="none"/>
        </w:rPr>
      </w:pPr>
      <w:r>
        <w:rPr>
          <w:rFonts w:hint="eastAsia" w:ascii="楷体_GB2312" w:hAnsi="楷体_GB2312" w:eastAsia="楷体_GB2312" w:cs="楷体_GB2312"/>
          <w:b/>
          <w:bCs/>
          <w:kern w:val="28"/>
          <w:sz w:val="32"/>
          <w:szCs w:val="32"/>
          <w:highlight w:val="none"/>
        </w:rPr>
        <w:t>（三）编制</w:t>
      </w:r>
      <w:r>
        <w:rPr>
          <w:rFonts w:hint="eastAsia" w:ascii="楷体_GB2312" w:hAnsi="楷体_GB2312" w:eastAsia="楷体_GB2312" w:cs="楷体_GB2312"/>
          <w:b/>
          <w:bCs/>
          <w:kern w:val="28"/>
          <w:sz w:val="32"/>
          <w:szCs w:val="32"/>
          <w:highlight w:val="none"/>
          <w:lang w:eastAsia="zh-CN"/>
        </w:rPr>
        <w:t>科学</w:t>
      </w:r>
      <w:r>
        <w:rPr>
          <w:rFonts w:hint="eastAsia" w:ascii="楷体_GB2312" w:hAnsi="楷体_GB2312" w:eastAsia="楷体_GB2312" w:cs="楷体_GB2312"/>
          <w:b/>
          <w:bCs/>
          <w:kern w:val="28"/>
          <w:sz w:val="32"/>
          <w:szCs w:val="32"/>
          <w:highlight w:val="none"/>
        </w:rPr>
        <w:t>整改方案</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lang w:val="en-US" w:eastAsia="zh-CN"/>
        </w:rPr>
        <w:t>1.</w:t>
      </w:r>
      <w:r>
        <w:rPr>
          <w:rFonts w:hint="eastAsia" w:ascii="仿宋_GB2312" w:hAnsi="仿宋_GB2312" w:eastAsia="仿宋_GB2312" w:cs="仿宋_GB2312"/>
          <w:kern w:val="28"/>
          <w:sz w:val="32"/>
          <w:szCs w:val="32"/>
          <w:highlight w:val="none"/>
        </w:rPr>
        <w:t>测评机构需根据测评结果，应针对性的提出整改建议方案。整改建议方案应具有可操作性，符合我单位实际情况，且能够切实解决问题。</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lang w:val="en-US" w:eastAsia="zh-CN"/>
        </w:rPr>
        <w:t>2.</w:t>
      </w:r>
      <w:r>
        <w:rPr>
          <w:rFonts w:hint="eastAsia" w:ascii="仿宋_GB2312" w:hAnsi="仿宋_GB2312" w:eastAsia="仿宋_GB2312" w:cs="仿宋_GB2312"/>
          <w:kern w:val="28"/>
          <w:sz w:val="32"/>
          <w:szCs w:val="32"/>
          <w:highlight w:val="none"/>
        </w:rPr>
        <w:t>整改建议方案应明确设计依据、整改内容、整改方案、能够解决的问题、投资概算以及风险评估。</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lang w:val="en-US" w:eastAsia="zh-CN"/>
        </w:rPr>
        <w:t>3.</w:t>
      </w:r>
      <w:r>
        <w:rPr>
          <w:rFonts w:hint="eastAsia" w:ascii="仿宋_GB2312" w:hAnsi="仿宋_GB2312" w:eastAsia="仿宋_GB2312" w:cs="仿宋_GB2312"/>
          <w:kern w:val="28"/>
          <w:sz w:val="32"/>
          <w:szCs w:val="32"/>
          <w:highlight w:val="none"/>
        </w:rPr>
        <w:t>在整改实施过程中，测评机构应全力支持，负责技术把关、整改验收以及其他咨询工作。</w:t>
      </w:r>
    </w:p>
    <w:p>
      <w:pPr>
        <w:keepNext w:val="0"/>
        <w:keepLines w:val="0"/>
        <w:pageBreakBefore w:val="0"/>
        <w:widowControl w:val="0"/>
        <w:numPr>
          <w:ilvl w:val="0"/>
          <w:numId w:val="0"/>
        </w:numPr>
        <w:kinsoku/>
        <w:wordWrap/>
        <w:overflowPunct/>
        <w:topLinePunct w:val="0"/>
        <w:bidi w:val="0"/>
        <w:snapToGrid/>
        <w:spacing w:line="560" w:lineRule="exact"/>
        <w:ind w:leftChars="0" w:right="0" w:firstLine="643" w:firstLineChars="200"/>
        <w:textAlignment w:val="auto"/>
        <w:rPr>
          <w:rFonts w:hint="eastAsia" w:ascii="楷体_GB2312" w:hAnsi="楷体_GB2312" w:eastAsia="楷体_GB2312" w:cs="楷体_GB2312"/>
          <w:b/>
          <w:bCs/>
          <w:kern w:val="28"/>
          <w:sz w:val="32"/>
          <w:szCs w:val="32"/>
          <w:highlight w:val="none"/>
          <w:lang w:eastAsia="zh-CN"/>
        </w:rPr>
      </w:pPr>
      <w:r>
        <w:rPr>
          <w:rFonts w:hint="eastAsia" w:ascii="楷体_GB2312" w:hAnsi="楷体_GB2312" w:eastAsia="楷体_GB2312" w:cs="楷体_GB2312"/>
          <w:b/>
          <w:bCs/>
          <w:kern w:val="28"/>
          <w:sz w:val="32"/>
          <w:szCs w:val="32"/>
          <w:highlight w:val="none"/>
          <w:lang w:eastAsia="zh-CN"/>
        </w:rPr>
        <w:t>（四）开展信息安全培训</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lang w:eastAsia="zh-CN"/>
        </w:rPr>
      </w:pPr>
      <w:r>
        <w:rPr>
          <w:rFonts w:hint="eastAsia" w:ascii="仿宋_GB2312" w:hAnsi="仿宋_GB2312" w:eastAsia="仿宋_GB2312" w:cs="仿宋_GB2312"/>
          <w:kern w:val="28"/>
          <w:sz w:val="32"/>
          <w:szCs w:val="32"/>
          <w:highlight w:val="none"/>
          <w:lang w:eastAsia="zh-CN"/>
        </w:rPr>
        <w:t>对我局全体</w:t>
      </w:r>
      <w:r>
        <w:rPr>
          <w:rFonts w:hint="eastAsia" w:ascii="仿宋_GB2312" w:hAnsi="仿宋_GB2312" w:eastAsia="仿宋_GB2312" w:cs="仿宋_GB2312"/>
          <w:kern w:val="28"/>
          <w:sz w:val="32"/>
          <w:szCs w:val="32"/>
          <w:highlight w:val="none"/>
          <w:lang w:val="en-US" w:eastAsia="zh-CN"/>
        </w:rPr>
        <w:t>干部职工</w:t>
      </w:r>
      <w:r>
        <w:rPr>
          <w:rFonts w:hint="eastAsia" w:ascii="仿宋_GB2312" w:hAnsi="仿宋_GB2312" w:eastAsia="仿宋_GB2312" w:cs="仿宋_GB2312"/>
          <w:kern w:val="28"/>
          <w:sz w:val="32"/>
          <w:szCs w:val="32"/>
          <w:highlight w:val="none"/>
          <w:lang w:eastAsia="zh-CN"/>
        </w:rPr>
        <w:t>进行信息安全意识教育培训，提高全体工作</w:t>
      </w:r>
      <w:r>
        <w:rPr>
          <w:rFonts w:hint="eastAsia" w:ascii="仿宋_GB2312" w:hAnsi="仿宋_GB2312" w:eastAsia="仿宋_GB2312" w:cs="仿宋_GB2312"/>
          <w:kern w:val="28"/>
          <w:sz w:val="32"/>
          <w:szCs w:val="32"/>
          <w:highlight w:val="none"/>
          <w:lang w:val="en-US" w:eastAsia="zh-CN"/>
        </w:rPr>
        <w:t>干部职工</w:t>
      </w:r>
      <w:r>
        <w:rPr>
          <w:rFonts w:hint="eastAsia" w:ascii="仿宋_GB2312" w:hAnsi="仿宋_GB2312" w:eastAsia="仿宋_GB2312" w:cs="仿宋_GB2312"/>
          <w:kern w:val="28"/>
          <w:sz w:val="32"/>
          <w:szCs w:val="32"/>
          <w:highlight w:val="none"/>
          <w:lang w:eastAsia="zh-CN"/>
        </w:rPr>
        <w:t>对信息安全的基本认知和敏感性。同时，对相关工作人员进行安全防护技能的培训，提高其安全防护能力。</w:t>
      </w:r>
    </w:p>
    <w:p>
      <w:pPr>
        <w:keepNext w:val="0"/>
        <w:keepLines w:val="0"/>
        <w:pageBreakBefore w:val="0"/>
        <w:widowControl w:val="0"/>
        <w:numPr>
          <w:ilvl w:val="0"/>
          <w:numId w:val="1"/>
        </w:numPr>
        <w:kinsoku/>
        <w:wordWrap/>
        <w:overflowPunct/>
        <w:topLinePunct w:val="0"/>
        <w:bidi w:val="0"/>
        <w:snapToGrid/>
        <w:spacing w:line="560" w:lineRule="exact"/>
        <w:ind w:leftChars="0" w:right="0" w:firstLine="643" w:firstLineChars="200"/>
        <w:textAlignment w:val="auto"/>
        <w:rPr>
          <w:rFonts w:hint="eastAsia" w:ascii="楷体_GB2312" w:hAnsi="楷体_GB2312" w:eastAsia="楷体_GB2312" w:cs="楷体_GB2312"/>
          <w:b/>
          <w:bCs/>
          <w:kern w:val="28"/>
          <w:sz w:val="32"/>
          <w:szCs w:val="32"/>
          <w:highlight w:val="none"/>
          <w:lang w:eastAsia="zh-CN"/>
        </w:rPr>
      </w:pPr>
      <w:r>
        <w:rPr>
          <w:rFonts w:hint="eastAsia" w:ascii="楷体_GB2312" w:hAnsi="楷体_GB2312" w:eastAsia="楷体_GB2312" w:cs="楷体_GB2312"/>
          <w:b/>
          <w:bCs/>
          <w:kern w:val="28"/>
          <w:sz w:val="32"/>
          <w:szCs w:val="32"/>
          <w:highlight w:val="none"/>
          <w:lang w:eastAsia="zh-CN"/>
        </w:rPr>
        <w:t>完善安全管理制度</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kern w:val="28"/>
          <w:sz w:val="32"/>
          <w:szCs w:val="32"/>
          <w:highlight w:val="none"/>
          <w:lang w:val="en-US" w:eastAsia="zh-CN"/>
        </w:rPr>
      </w:pPr>
      <w:r>
        <w:rPr>
          <w:rFonts w:hint="eastAsia" w:ascii="仿宋_GB2312" w:hAnsi="仿宋_GB2312" w:eastAsia="仿宋_GB2312" w:cs="仿宋_GB2312"/>
          <w:kern w:val="28"/>
          <w:sz w:val="32"/>
          <w:szCs w:val="32"/>
          <w:highlight w:val="none"/>
          <w:lang w:eastAsia="zh-CN"/>
        </w:rPr>
        <w:t>根据国家等级测评保护制度的要求，结合单位实际情况，完善网络安全管理制度，并行成文本以进一步加强信息网络的维护和管理，确保网络安全、可靠、稳定地运行</w:t>
      </w:r>
      <w:r>
        <w:rPr>
          <w:rFonts w:hint="eastAsia" w:ascii="仿宋_GB2312" w:hAnsi="仿宋_GB2312" w:eastAsia="仿宋_GB2312" w:cs="仿宋_GB2312"/>
          <w:kern w:val="28"/>
          <w:sz w:val="32"/>
          <w:szCs w:val="32"/>
          <w:highlight w:val="none"/>
          <w:lang w:val="en-US" w:eastAsia="zh-CN"/>
        </w:rPr>
        <w:t>，提高网站的管理与运维水平。</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right="0" w:firstLine="643" w:firstLineChars="200"/>
        <w:jc w:val="left"/>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三、</w:t>
      </w:r>
      <w:r>
        <w:rPr>
          <w:rFonts w:hint="eastAsia" w:ascii="仿宋_GB2312" w:hAnsi="仿宋_GB2312" w:eastAsia="仿宋_GB2312" w:cs="仿宋_GB2312"/>
          <w:b/>
          <w:bCs/>
          <w:kern w:val="0"/>
          <w:sz w:val="32"/>
          <w:szCs w:val="32"/>
          <w:highlight w:val="none"/>
          <w:lang w:val="en-US" w:eastAsia="zh-CN"/>
        </w:rPr>
        <w:t>项目</w:t>
      </w:r>
      <w:r>
        <w:rPr>
          <w:rFonts w:hint="eastAsia" w:ascii="仿宋_GB2312" w:hAnsi="仿宋_GB2312" w:eastAsia="仿宋_GB2312" w:cs="仿宋_GB2312"/>
          <w:b/>
          <w:bCs/>
          <w:kern w:val="0"/>
          <w:sz w:val="32"/>
          <w:szCs w:val="32"/>
          <w:highlight w:val="none"/>
        </w:rPr>
        <w:t>工期</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lang w:eastAsia="zh-CN"/>
        </w:rPr>
      </w:pPr>
      <w:r>
        <w:rPr>
          <w:rFonts w:hint="eastAsia" w:ascii="仿宋_GB2312" w:hAnsi="仿宋_GB2312" w:eastAsia="仿宋_GB2312" w:cs="仿宋_GB2312"/>
          <w:kern w:val="28"/>
          <w:sz w:val="32"/>
          <w:szCs w:val="32"/>
          <w:highlight w:val="none"/>
        </w:rPr>
        <w:t>中标方需在</w:t>
      </w:r>
      <w:r>
        <w:rPr>
          <w:rFonts w:hint="eastAsia" w:ascii="仿宋_GB2312" w:hAnsi="仿宋_GB2312" w:eastAsia="仿宋_GB2312" w:cs="仿宋_GB2312"/>
          <w:kern w:val="28"/>
          <w:sz w:val="32"/>
          <w:szCs w:val="32"/>
          <w:highlight w:val="none"/>
          <w:lang w:val="en-US" w:eastAsia="zh-CN"/>
        </w:rPr>
        <w:t>45</w:t>
      </w:r>
      <w:r>
        <w:rPr>
          <w:rFonts w:hint="eastAsia" w:ascii="仿宋_GB2312" w:hAnsi="仿宋_GB2312" w:eastAsia="仿宋_GB2312" w:cs="仿宋_GB2312"/>
          <w:kern w:val="28"/>
          <w:sz w:val="32"/>
          <w:szCs w:val="32"/>
          <w:highlight w:val="none"/>
        </w:rPr>
        <w:t>天内交付成果和报告，提交测评报告及</w:t>
      </w:r>
      <w:r>
        <w:rPr>
          <w:rFonts w:hint="eastAsia" w:ascii="仿宋_GB2312" w:hAnsi="仿宋_GB2312" w:eastAsia="仿宋_GB2312" w:cs="仿宋_GB2312"/>
          <w:kern w:val="28"/>
          <w:sz w:val="32"/>
          <w:szCs w:val="32"/>
          <w:highlight w:val="none"/>
          <w:lang w:eastAsia="zh-CN"/>
        </w:rPr>
        <w:t>安全</w:t>
      </w:r>
      <w:r>
        <w:rPr>
          <w:rFonts w:hint="eastAsia" w:ascii="仿宋_GB2312" w:hAnsi="仿宋_GB2312" w:eastAsia="仿宋_GB2312" w:cs="仿宋_GB2312"/>
          <w:kern w:val="28"/>
          <w:sz w:val="32"/>
          <w:szCs w:val="32"/>
          <w:highlight w:val="none"/>
        </w:rPr>
        <w:t>整改方案</w:t>
      </w:r>
      <w:r>
        <w:rPr>
          <w:rFonts w:hint="eastAsia" w:ascii="仿宋_GB2312" w:hAnsi="仿宋_GB2312" w:eastAsia="仿宋_GB2312" w:cs="仿宋_GB2312"/>
          <w:kern w:val="28"/>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right="0" w:firstLine="643" w:firstLineChars="200"/>
        <w:jc w:val="left"/>
        <w:textAlignment w:val="auto"/>
        <w:rPr>
          <w:rFonts w:hint="eastAsia"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四、</w:t>
      </w:r>
      <w:r>
        <w:rPr>
          <w:rFonts w:hint="eastAsia" w:ascii="仿宋_GB2312" w:hAnsi="仿宋_GB2312" w:eastAsia="仿宋_GB2312" w:cs="仿宋_GB2312"/>
          <w:b/>
          <w:bCs/>
          <w:kern w:val="0"/>
          <w:sz w:val="32"/>
          <w:szCs w:val="32"/>
          <w:highlight w:val="none"/>
          <w:lang w:val="en-US" w:eastAsia="zh-CN"/>
        </w:rPr>
        <w:t>项目</w:t>
      </w:r>
      <w:r>
        <w:rPr>
          <w:rFonts w:hint="eastAsia" w:ascii="仿宋_GB2312" w:hAnsi="仿宋_GB2312" w:eastAsia="仿宋_GB2312" w:cs="仿宋_GB2312"/>
          <w:b/>
          <w:bCs/>
          <w:kern w:val="0"/>
          <w:sz w:val="32"/>
          <w:szCs w:val="32"/>
          <w:highlight w:val="none"/>
        </w:rPr>
        <w:t>验收标准</w:t>
      </w:r>
    </w:p>
    <w:p>
      <w:pPr>
        <w:keepNext w:val="0"/>
        <w:keepLines w:val="0"/>
        <w:pageBreakBefore w:val="0"/>
        <w:widowControl w:val="0"/>
        <w:kinsoku/>
        <w:wordWrap/>
        <w:overflowPunct/>
        <w:topLinePunct w:val="0"/>
        <w:autoSpaceDE w:val="0"/>
        <w:autoSpaceDN w:val="0"/>
        <w:bidi w:val="0"/>
        <w:adjustRightInd w:val="0"/>
        <w:snapToGrid/>
        <w:spacing w:line="560" w:lineRule="exact"/>
        <w:ind w:leftChars="0" w:right="0" w:firstLine="640" w:firstLineChars="200"/>
        <w:jc w:val="left"/>
        <w:textAlignment w:val="auto"/>
        <w:rPr>
          <w:rFonts w:hint="eastAsia" w:ascii="仿宋_GB2312" w:hAnsi="仿宋_GB2312" w:eastAsia="仿宋_GB2312" w:cs="仿宋_GB2312"/>
          <w:kern w:val="28"/>
          <w:sz w:val="32"/>
          <w:szCs w:val="32"/>
          <w:highlight w:val="none"/>
        </w:rPr>
      </w:pPr>
      <w:r>
        <w:rPr>
          <w:rFonts w:hint="eastAsia" w:ascii="仿宋_GB2312" w:hAnsi="仿宋_GB2312" w:eastAsia="仿宋_GB2312" w:cs="仿宋_GB2312"/>
          <w:kern w:val="28"/>
          <w:sz w:val="32"/>
          <w:szCs w:val="32"/>
          <w:highlight w:val="none"/>
          <w:lang w:val="en-US" w:eastAsia="zh-CN"/>
        </w:rPr>
        <w:t>项目</w:t>
      </w:r>
      <w:r>
        <w:rPr>
          <w:rFonts w:hint="eastAsia" w:ascii="仿宋_GB2312" w:hAnsi="仿宋_GB2312" w:eastAsia="仿宋_GB2312" w:cs="仿宋_GB2312"/>
          <w:kern w:val="28"/>
          <w:sz w:val="32"/>
          <w:szCs w:val="32"/>
          <w:highlight w:val="none"/>
        </w:rPr>
        <w:t>通过验收须满足以下所有条件：</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lang w:val="en-US" w:eastAsia="zh-CN"/>
        </w:rPr>
      </w:pPr>
      <w:r>
        <w:rPr>
          <w:rFonts w:hint="eastAsia" w:ascii="仿宋_GB2312" w:hAnsi="仿宋_GB2312" w:eastAsia="仿宋_GB2312" w:cs="仿宋_GB2312"/>
          <w:kern w:val="28"/>
          <w:sz w:val="32"/>
          <w:szCs w:val="32"/>
          <w:highlight w:val="none"/>
          <w:lang w:val="en-US" w:eastAsia="zh-CN"/>
        </w:rPr>
        <w:t>1.完成信息系统测评并出具《海口市医疗保障局门户网站安全等级保护测评报告》；</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lang w:val="en-US" w:eastAsia="zh-CN"/>
        </w:rPr>
      </w:pPr>
      <w:r>
        <w:rPr>
          <w:rFonts w:hint="eastAsia" w:ascii="仿宋_GB2312" w:hAnsi="仿宋_GB2312" w:eastAsia="仿宋_GB2312" w:cs="仿宋_GB2312"/>
          <w:kern w:val="28"/>
          <w:sz w:val="32"/>
          <w:szCs w:val="32"/>
          <w:highlight w:val="none"/>
          <w:lang w:val="en-US" w:eastAsia="zh-CN"/>
        </w:rPr>
        <w:t>2.针对性的制定整改方案，并出具《整改建议方案》；</w:t>
      </w:r>
    </w:p>
    <w:p>
      <w:pPr>
        <w:keepNext w:val="0"/>
        <w:keepLines w:val="0"/>
        <w:pageBreakBefore w:val="0"/>
        <w:widowControl w:val="0"/>
        <w:kinsoku/>
        <w:wordWrap/>
        <w:overflowPunct/>
        <w:topLinePunct w:val="0"/>
        <w:bidi w:val="0"/>
        <w:snapToGrid/>
        <w:spacing w:line="560" w:lineRule="exact"/>
        <w:ind w:leftChars="0" w:right="0" w:firstLine="640" w:firstLineChars="200"/>
        <w:textAlignment w:val="auto"/>
        <w:rPr>
          <w:rFonts w:hint="eastAsia" w:ascii="仿宋_GB2312" w:hAnsi="仿宋_GB2312" w:eastAsia="仿宋_GB2312" w:cs="仿宋_GB2312"/>
          <w:kern w:val="28"/>
          <w:sz w:val="32"/>
          <w:szCs w:val="32"/>
          <w:highlight w:val="none"/>
          <w:lang w:val="en-US" w:eastAsia="zh-CN"/>
        </w:rPr>
      </w:pPr>
      <w:r>
        <w:rPr>
          <w:rFonts w:hint="eastAsia" w:ascii="仿宋_GB2312" w:hAnsi="仿宋_GB2312" w:eastAsia="仿宋_GB2312" w:cs="仿宋_GB2312"/>
          <w:kern w:val="28"/>
          <w:sz w:val="32"/>
          <w:szCs w:val="32"/>
          <w:highlight w:val="none"/>
          <w:lang w:val="en-US" w:eastAsia="zh-CN"/>
        </w:rPr>
        <w:t>3.</w:t>
      </w:r>
      <w:r>
        <w:rPr>
          <w:rFonts w:hint="eastAsia" w:ascii="仿宋_GB2312" w:hAnsi="仿宋_GB2312" w:eastAsia="仿宋_GB2312" w:cs="仿宋_GB2312"/>
          <w:kern w:val="28"/>
          <w:sz w:val="32"/>
          <w:szCs w:val="32"/>
          <w:highlight w:val="none"/>
          <w:lang w:eastAsia="zh-CN"/>
        </w:rPr>
        <w:t>进一步加强信息网络的维护和管理，编制网络安全制度；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right="0" w:firstLine="640" w:firstLineChars="200"/>
        <w:jc w:val="left"/>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kern w:val="28"/>
          <w:sz w:val="32"/>
          <w:szCs w:val="32"/>
          <w:highlight w:val="none"/>
          <w:lang w:val="en-US" w:eastAsia="zh-CN"/>
        </w:rPr>
        <w:t>4.</w:t>
      </w:r>
      <w:r>
        <w:rPr>
          <w:rFonts w:hint="eastAsia" w:ascii="仿宋_GB2312" w:hAnsi="仿宋_GB2312" w:eastAsia="仿宋_GB2312" w:cs="仿宋_GB2312"/>
          <w:kern w:val="28"/>
          <w:sz w:val="32"/>
          <w:szCs w:val="32"/>
          <w:highlight w:val="none"/>
          <w:lang w:eastAsia="zh-CN"/>
        </w:rPr>
        <w:t>提交调研表、技术测评记录、会议纪要、培训等服务过程材料；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Chars="0" w:right="0" w:firstLine="640" w:firstLineChars="200"/>
        <w:jc w:val="left"/>
        <w:textAlignment w:val="auto"/>
        <w:rPr>
          <w:rFonts w:hint="eastAsia" w:ascii="仿宋_GB2312" w:hAnsi="仿宋_GB2312" w:eastAsia="仿宋_GB2312" w:cs="仿宋_GB2312"/>
          <w:b/>
          <w:bCs/>
          <w:kern w:val="0"/>
          <w:sz w:val="32"/>
          <w:szCs w:val="32"/>
          <w:highlight w:val="none"/>
          <w:lang w:eastAsia="zh-CN"/>
        </w:rPr>
      </w:pPr>
      <w:r>
        <w:rPr>
          <w:rFonts w:hint="eastAsia" w:ascii="仿宋_GB2312" w:hAnsi="仿宋_GB2312" w:eastAsia="仿宋_GB2312" w:cs="仿宋_GB2312"/>
          <w:kern w:val="28"/>
          <w:sz w:val="32"/>
          <w:szCs w:val="32"/>
          <w:highlight w:val="none"/>
          <w:lang w:val="en-US" w:eastAsia="zh-CN"/>
        </w:rPr>
        <w:t>5.</w:t>
      </w:r>
      <w:r>
        <w:rPr>
          <w:rFonts w:hint="eastAsia" w:ascii="仿宋_GB2312" w:hAnsi="仿宋_GB2312" w:eastAsia="仿宋_GB2312" w:cs="仿宋_GB2312"/>
          <w:kern w:val="28"/>
          <w:sz w:val="32"/>
          <w:szCs w:val="32"/>
          <w:highlight w:val="none"/>
          <w:lang w:eastAsia="zh-CN"/>
        </w:rPr>
        <w:t>符合省级以上公安部门提出的信息安全等级保护测评相关要求。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FB92C"/>
    <w:multiLevelType w:val="singleLevel"/>
    <w:tmpl w:val="BBBFB92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63DA27F7"/>
    <w:rsid w:val="0D7A4A46"/>
    <w:rsid w:val="223B15B0"/>
    <w:rsid w:val="63DA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Text"/>
    <w:basedOn w:val="1"/>
    <w:next w:val="3"/>
    <w:qFormat/>
    <w:uiPriority w:val="0"/>
    <w:pPr>
      <w:spacing w:after="120"/>
      <w:textAlignment w:val="baseline"/>
    </w:pPr>
  </w:style>
  <w:style w:type="paragraph" w:styleId="3">
    <w:name w:val="Date"/>
    <w:basedOn w:val="1"/>
    <w:next w:val="1"/>
    <w:unhideWhenUsed/>
    <w:uiPriority w:val="99"/>
    <w:pPr>
      <w:ind w:left="100" w:leftChars="2500"/>
    </w:pPr>
  </w:style>
  <w:style w:type="paragraph" w:styleId="4">
    <w:name w:val="Plain Text"/>
    <w:basedOn w:val="1"/>
    <w:qFormat/>
    <w:uiPriority w:val="0"/>
    <w:rPr>
      <w:rFonts w:ascii="宋体" w:hAnsi="Courier New" w:cs="Courier New"/>
      <w:szCs w:val="21"/>
    </w:rPr>
  </w:style>
  <w:style w:type="paragraph" w:styleId="5">
    <w:name w:val="footer"/>
    <w:basedOn w:val="1"/>
    <w:unhideWhenUsed/>
    <w:uiPriority w:val="99"/>
    <w:pPr>
      <w:tabs>
        <w:tab w:val="center" w:pos="4153"/>
        <w:tab w:val="right" w:pos="8306"/>
      </w:tabs>
      <w:snapToGrid w:val="0"/>
      <w:jc w:val="left"/>
    </w:pPr>
    <w:rPr>
      <w:sz w:val="18"/>
      <w:szCs w:val="18"/>
    </w:rPr>
  </w:style>
  <w:style w:type="paragraph" w:customStyle="1" w:styleId="8">
    <w:name w:val="公文样式"/>
    <w:basedOn w:val="1"/>
    <w:next w:val="1"/>
    <w:qFormat/>
    <w:uiPriority w:val="0"/>
    <w:pPr>
      <w:autoSpaceDE w:val="0"/>
      <w:autoSpaceDN w:val="0"/>
      <w:adjustRightInd w:val="0"/>
      <w:snapToGrid w:val="0"/>
      <w:spacing w:line="560" w:lineRule="exact"/>
      <w:ind w:firstLine="640" w:firstLineChars="200"/>
    </w:pPr>
    <w:rPr>
      <w:rFonts w:hint="eastAsia" w:ascii="仿宋_GB2312" w:hAnsi="仿宋_GB2312" w:eastAsia="仿宋_GB2312" w:cs="仿宋"/>
      <w:color w:val="auto"/>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2022-09-20T04:27:00Z</dcterms:created>
  <dc:creator>陈</dc:creator>
  <cp:lastModifiedBy>陈</cp:lastModifiedBy>
  <dcterms:modified xsi:type="dcterms:W3CDTF">2022-09-20T04:28:00Z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35194DEEF83B47EF98048CD0438AA59D</vt:lpwstr>
  </property>
</Properties>
</file>